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429E88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5573B1" w:rsidRPr="005573B1">
        <w:rPr>
          <w:bCs/>
          <w:noProof w:val="0"/>
          <w:sz w:val="24"/>
          <w:szCs w:val="24"/>
        </w:rPr>
        <w:t>R2-2210187</w:t>
      </w:r>
    </w:p>
    <w:p w14:paraId="11776FA6" w14:textId="767CB369"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A17176">
        <w:rPr>
          <w:bCs/>
          <w:sz w:val="24"/>
          <w:szCs w:val="24"/>
          <w:lang w:eastAsia="zh-CN"/>
        </w:rPr>
        <w:t>10</w:t>
      </w:r>
      <w:r w:rsidR="005C7CD5" w:rsidRPr="005C7CD5">
        <w:rPr>
          <w:bCs/>
          <w:sz w:val="24"/>
          <w:szCs w:val="24"/>
          <w:lang w:eastAsia="zh-CN"/>
        </w:rPr>
        <w:t xml:space="preserve"> – </w:t>
      </w:r>
      <w:r w:rsidR="00A17176">
        <w:rPr>
          <w:bCs/>
          <w:sz w:val="24"/>
          <w:szCs w:val="24"/>
          <w:lang w:eastAsia="zh-CN"/>
        </w:rPr>
        <w:t>19</w:t>
      </w:r>
      <w:r w:rsidR="005C7CD5" w:rsidRPr="005C7CD5">
        <w:rPr>
          <w:bCs/>
          <w:sz w:val="24"/>
          <w:szCs w:val="24"/>
          <w:lang w:eastAsia="zh-CN"/>
        </w:rPr>
        <w:t xml:space="preserve"> </w:t>
      </w:r>
      <w:r w:rsidR="00A17176">
        <w:rPr>
          <w:bCs/>
          <w:sz w:val="24"/>
          <w:szCs w:val="24"/>
          <w:lang w:eastAsia="zh-CN"/>
        </w:rPr>
        <w:t>October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E54A7B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F64AE">
        <w:rPr>
          <w:rFonts w:cs="Arial"/>
          <w:b/>
          <w:bCs/>
          <w:sz w:val="24"/>
          <w:lang w:eastAsia="ja-JP"/>
        </w:rPr>
        <w:t>8.5.3.2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7648D0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6000">
        <w:rPr>
          <w:rFonts w:ascii="Arial" w:hAnsi="Arial" w:cs="Arial"/>
          <w:b/>
          <w:bCs/>
          <w:sz w:val="24"/>
        </w:rPr>
        <w:t>Multiple CG configuration</w:t>
      </w:r>
      <w:r w:rsidR="004D3232">
        <w:rPr>
          <w:rFonts w:ascii="Arial" w:hAnsi="Arial" w:cs="Arial"/>
          <w:b/>
          <w:bCs/>
          <w:sz w:val="24"/>
        </w:rPr>
        <w:t>s</w:t>
      </w:r>
      <w:r w:rsidR="00700FDE">
        <w:rPr>
          <w:rFonts w:ascii="Arial" w:hAnsi="Arial" w:cs="Arial"/>
          <w:b/>
          <w:bCs/>
          <w:sz w:val="24"/>
        </w:rPr>
        <w:t xml:space="preserve"> </w:t>
      </w:r>
      <w:r w:rsidR="00EB10A2">
        <w:rPr>
          <w:rFonts w:ascii="Arial" w:hAnsi="Arial" w:cs="Arial"/>
          <w:b/>
          <w:bCs/>
          <w:sz w:val="24"/>
        </w:rPr>
        <w:t>for XR</w:t>
      </w:r>
    </w:p>
    <w:p w14:paraId="25F387E8" w14:textId="55EF052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B10A2" w:rsidRPr="00D41F23">
        <w:rPr>
          <w:rFonts w:ascii="Arial" w:hAnsi="Arial" w:cs="Arial"/>
          <w:b/>
          <w:bCs/>
          <w:sz w:val="24"/>
        </w:rPr>
        <w:t>FS_NR_XR_enh</w:t>
      </w:r>
      <w:r w:rsidR="00EB10A2">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F05F21D" w14:textId="2F187491" w:rsidR="008355B6" w:rsidRDefault="008355B6" w:rsidP="008355B6">
      <w:pPr>
        <w:pStyle w:val="B2"/>
        <w:ind w:left="0" w:firstLine="0"/>
      </w:pPr>
      <w:r>
        <w:t>It was proposed in [</w:t>
      </w:r>
      <w:r w:rsidR="004972A8">
        <w:t>1</w:t>
      </w:r>
      <w:r>
        <w:t xml:space="preserve">] to allow partial skipping of the allocated resource when there is not that much data to be transmitted since currently it is only possible to have full skipping when there is no data or otherwise padding needs to be added to fill the UL grant. The issue was listed as low priority from the RAN1 discussions: </w:t>
      </w:r>
    </w:p>
    <w:tbl>
      <w:tblPr>
        <w:tblStyle w:val="TableGrid"/>
        <w:tblW w:w="0" w:type="auto"/>
        <w:tblLook w:val="04A0" w:firstRow="1" w:lastRow="0" w:firstColumn="1" w:lastColumn="0" w:noHBand="0" w:noVBand="1"/>
      </w:tblPr>
      <w:tblGrid>
        <w:gridCol w:w="9631"/>
      </w:tblGrid>
      <w:tr w:rsidR="008355B6" w14:paraId="2E744E62" w14:textId="77777777" w:rsidTr="00570636">
        <w:tc>
          <w:tcPr>
            <w:tcW w:w="9631" w:type="dxa"/>
          </w:tcPr>
          <w:p w14:paraId="12261AF4" w14:textId="77777777" w:rsidR="008355B6" w:rsidRPr="00972E0D" w:rsidRDefault="008355B6" w:rsidP="00570636">
            <w:pPr>
              <w:spacing w:after="0"/>
              <w:rPr>
                <w:sz w:val="18"/>
                <w:szCs w:val="18"/>
                <w:lang w:val="en-US"/>
              </w:rPr>
            </w:pPr>
            <w:r w:rsidRPr="00476773">
              <w:rPr>
                <w:b/>
                <w:sz w:val="18"/>
                <w:szCs w:val="18"/>
                <w:highlight w:val="green"/>
                <w:lang w:val="en-US"/>
              </w:rPr>
              <w:t>Agreement</w:t>
            </w:r>
          </w:p>
          <w:p w14:paraId="5AE4C301" w14:textId="77777777" w:rsidR="008355B6" w:rsidRPr="00972E0D" w:rsidRDefault="008355B6" w:rsidP="00570636">
            <w:pPr>
              <w:spacing w:after="0"/>
              <w:rPr>
                <w:sz w:val="18"/>
                <w:szCs w:val="18"/>
                <w:lang w:val="en-US"/>
              </w:rPr>
            </w:pPr>
            <w:r w:rsidRPr="00476773">
              <w:rPr>
                <w:sz w:val="18"/>
                <w:szCs w:val="18"/>
                <w:lang w:val="en-US"/>
              </w:rPr>
              <w:t xml:space="preserve">For Rel-18 XR power saving enhancements, RAN1 further discusses by RAN1 #110 whether the issues below are to be addressed, and if so, which solutions should be selected for evaluation in this study item. </w:t>
            </w:r>
            <w:r w:rsidRPr="00972E0D">
              <w:rPr>
                <w:sz w:val="18"/>
                <w:szCs w:val="18"/>
              </w:rPr>
              <w:t>These issues are low priority.</w:t>
            </w:r>
          </w:p>
          <w:p w14:paraId="1519D854" w14:textId="77777777" w:rsidR="008355B6" w:rsidRPr="00972E0D" w:rsidRDefault="008355B6" w:rsidP="00570636">
            <w:pPr>
              <w:numPr>
                <w:ilvl w:val="0"/>
                <w:numId w:val="10"/>
              </w:numPr>
              <w:spacing w:after="0" w:line="259" w:lineRule="auto"/>
              <w:ind w:hanging="357"/>
              <w:rPr>
                <w:sz w:val="18"/>
                <w:szCs w:val="18"/>
                <w:lang w:val="en-US"/>
              </w:rPr>
            </w:pPr>
            <w:r w:rsidRPr="00476773">
              <w:rPr>
                <w:sz w:val="18"/>
                <w:szCs w:val="18"/>
                <w:lang w:val="en-US"/>
              </w:rPr>
              <w:t xml:space="preserve">Issue 3-1: Misaligned UE transmission and reception. </w:t>
            </w:r>
          </w:p>
          <w:p w14:paraId="1B8CD5A0" w14:textId="77777777" w:rsidR="008355B6" w:rsidRPr="00972E0D" w:rsidRDefault="008355B6" w:rsidP="00570636">
            <w:pPr>
              <w:numPr>
                <w:ilvl w:val="0"/>
                <w:numId w:val="10"/>
              </w:numPr>
              <w:spacing w:after="0" w:line="259" w:lineRule="auto"/>
              <w:ind w:hanging="357"/>
              <w:rPr>
                <w:sz w:val="18"/>
                <w:szCs w:val="18"/>
                <w:lang w:val="en-US"/>
              </w:rPr>
            </w:pPr>
            <w:r w:rsidRPr="00476773">
              <w:rPr>
                <w:sz w:val="18"/>
                <w:szCs w:val="18"/>
                <w:lang w:val="en-US"/>
              </w:rPr>
              <w:t>Issue 3-2: Power saving by XR-aware scheduling.</w:t>
            </w:r>
          </w:p>
          <w:p w14:paraId="04EC1D11" w14:textId="77777777" w:rsidR="008355B6" w:rsidRPr="00972E0D" w:rsidRDefault="008355B6" w:rsidP="00570636">
            <w:pPr>
              <w:numPr>
                <w:ilvl w:val="1"/>
                <w:numId w:val="10"/>
              </w:numPr>
              <w:spacing w:after="0" w:line="259" w:lineRule="auto"/>
              <w:ind w:hanging="357"/>
              <w:rPr>
                <w:sz w:val="18"/>
                <w:szCs w:val="18"/>
                <w:lang w:val="en-US"/>
              </w:rPr>
            </w:pPr>
            <w:r w:rsidRPr="00476773">
              <w:rPr>
                <w:sz w:val="18"/>
                <w:szCs w:val="18"/>
                <w:lang w:val="en-US"/>
              </w:rPr>
              <w:t>Note 1b: XR SI objective has XR-awareness in RAN listed as a specific topic of RAN2 study</w:t>
            </w:r>
          </w:p>
          <w:p w14:paraId="7123C2A8" w14:textId="77777777" w:rsidR="008355B6" w:rsidRPr="008C5822" w:rsidRDefault="008355B6" w:rsidP="00570636">
            <w:pPr>
              <w:numPr>
                <w:ilvl w:val="0"/>
                <w:numId w:val="10"/>
              </w:numPr>
              <w:spacing w:after="0" w:line="259" w:lineRule="auto"/>
              <w:ind w:hanging="357"/>
              <w:rPr>
                <w:sz w:val="18"/>
                <w:szCs w:val="18"/>
                <w:highlight w:val="yellow"/>
                <w:lang w:val="en-US"/>
              </w:rPr>
            </w:pPr>
            <w:r w:rsidRPr="008C5822">
              <w:rPr>
                <w:sz w:val="18"/>
                <w:szCs w:val="18"/>
                <w:highlight w:val="yellow"/>
                <w:lang w:val="en-US"/>
              </w:rPr>
              <w:t xml:space="preserve">Issue 3-3: Unnecessary data transmission in allocated resources. </w:t>
            </w:r>
          </w:p>
          <w:p w14:paraId="03EF8AB1" w14:textId="77777777" w:rsidR="008355B6" w:rsidRPr="00972E0D" w:rsidRDefault="008355B6" w:rsidP="00570636">
            <w:pPr>
              <w:spacing w:after="0"/>
              <w:ind w:left="363"/>
              <w:rPr>
                <w:sz w:val="18"/>
                <w:szCs w:val="18"/>
                <w:lang w:val="en-US"/>
              </w:rPr>
            </w:pPr>
            <w:r w:rsidRPr="00476773">
              <w:rPr>
                <w:sz w:val="18"/>
                <w:szCs w:val="18"/>
                <w:lang w:val="en-US"/>
              </w:rPr>
              <w:t>Note 1: Rel-18 XR SI objective only has CDRX enhancements and PDCCH monitoring enhancements explicitly listed as focus of RAN1 study</w:t>
            </w:r>
          </w:p>
          <w:p w14:paraId="17A84BE5" w14:textId="77777777" w:rsidR="008355B6" w:rsidRPr="008C5822" w:rsidRDefault="008355B6" w:rsidP="00570636">
            <w:pPr>
              <w:spacing w:after="0"/>
              <w:ind w:left="363"/>
              <w:rPr>
                <w:sz w:val="18"/>
                <w:szCs w:val="18"/>
                <w:lang w:val="en-US"/>
              </w:rPr>
            </w:pPr>
            <w:r w:rsidRPr="00476773">
              <w:rPr>
                <w:sz w:val="18"/>
                <w:szCs w:val="18"/>
                <w:lang w:val="en-US"/>
              </w:rPr>
              <w:t>Note 2: Other considerations are not precluded</w:t>
            </w:r>
          </w:p>
        </w:tc>
      </w:tr>
    </w:tbl>
    <w:p w14:paraId="4854EE57" w14:textId="6D01CAB1" w:rsidR="009339CB" w:rsidRDefault="008355B6" w:rsidP="00D86CF6">
      <w:pPr>
        <w:spacing w:before="240"/>
      </w:pPr>
      <w:r>
        <w:t>From RAN2 point of view, we would like to confirm it should be already possible for the UE to select an UL grant with best fit TBS when there are multiple UL grants</w:t>
      </w:r>
      <w:r w:rsidR="000E055D">
        <w:t>,</w:t>
      </w:r>
      <w:r>
        <w:t xml:space="preserve"> without </w:t>
      </w:r>
      <w:r w:rsidR="000E055D">
        <w:t xml:space="preserve">any </w:t>
      </w:r>
      <w:r>
        <w:t>PHY impact</w:t>
      </w:r>
      <w:r w:rsidR="00D969F8">
        <w:t>.</w:t>
      </w:r>
    </w:p>
    <w:p w14:paraId="7D484B6E" w14:textId="678329B7" w:rsidR="009339CB" w:rsidRPr="006E13D1" w:rsidRDefault="009339CB" w:rsidP="009339CB">
      <w:pPr>
        <w:pStyle w:val="Heading1"/>
      </w:pPr>
      <w:r w:rsidRPr="006E13D1">
        <w:t>2</w:t>
      </w:r>
      <w:r w:rsidRPr="006E13D1">
        <w:tab/>
      </w:r>
      <w:r w:rsidR="004B4D5A">
        <w:t>Discussion</w:t>
      </w:r>
    </w:p>
    <w:p w14:paraId="2341C0C9" w14:textId="26CA0511" w:rsidR="006F01D5" w:rsidRDefault="00B44FC5" w:rsidP="006F01D5">
      <w:pPr>
        <w:pStyle w:val="B2"/>
        <w:ind w:left="0" w:firstLine="0"/>
      </w:pPr>
      <w:r>
        <w:t xml:space="preserve">Allowing the UE to build a smaller TB than allocated resource would </w:t>
      </w:r>
      <w:r w:rsidR="008D7411">
        <w:t>introduce unnecessary complexity</w:t>
      </w:r>
      <w:r w:rsidR="009738F5">
        <w:t xml:space="preserve"> for the NW</w:t>
      </w:r>
      <w:r w:rsidR="008D7411">
        <w:t xml:space="preserve"> decoding. </w:t>
      </w:r>
      <w:r w:rsidR="00AF7343">
        <w:t xml:space="preserve">It was proposed to introduce UCI to indicate how much resource is used which increases the overhead and standardization efforts. </w:t>
      </w:r>
      <w:r w:rsidR="00B53C2F">
        <w:t xml:space="preserve">While it could be easily supported already with multiple CG. </w:t>
      </w:r>
      <w:r w:rsidR="006F01D5">
        <w:t xml:space="preserve">There is no restriction that the </w:t>
      </w:r>
      <w:r w:rsidR="00E134F6">
        <w:t>multiple CG</w:t>
      </w:r>
      <w:r w:rsidR="006F01D5">
        <w:t xml:space="preserve"> cannot </w:t>
      </w:r>
      <w:r w:rsidR="00793F7F">
        <w:t>overlap</w:t>
      </w:r>
      <w:r w:rsidR="00B53C2F">
        <w:t xml:space="preserve"> so far</w:t>
      </w:r>
      <w:r w:rsidR="00793F7F">
        <w:t>, and they can</w:t>
      </w:r>
      <w:r w:rsidR="00FC27A7">
        <w:t xml:space="preserve"> </w:t>
      </w:r>
      <w:r w:rsidR="00793F7F">
        <w:t>be activated simultaneously</w:t>
      </w:r>
      <w:r w:rsidR="00FC27A7">
        <w:t xml:space="preserve"> with LCH restrictions and HARQ processes split configured. </w:t>
      </w:r>
      <w:r w:rsidR="006F01D5">
        <w:t xml:space="preserve">The NW can configure different DMRS to correctly decode on which CG the UE has made the UL transmission. </w:t>
      </w:r>
    </w:p>
    <w:p w14:paraId="028EFA57" w14:textId="0D8B8C77" w:rsidR="00793F7F" w:rsidRDefault="00793F7F" w:rsidP="00793F7F">
      <w:pPr>
        <w:pStyle w:val="B2"/>
        <w:ind w:left="0" w:firstLine="0"/>
      </w:pPr>
      <w:r w:rsidRPr="0046028A">
        <w:rPr>
          <w:b/>
          <w:bCs/>
        </w:rPr>
        <w:t>Proposal 1</w:t>
      </w:r>
      <w:r>
        <w:t xml:space="preserve">: </w:t>
      </w:r>
      <w:r w:rsidR="008A4F02">
        <w:t>RAN2 to c</w:t>
      </w:r>
      <w:r>
        <w:t xml:space="preserve">onfirm it is already possible to configure and simultaneous activate multiple overlapping CG. </w:t>
      </w:r>
    </w:p>
    <w:p w14:paraId="463EF2B4" w14:textId="643376BD" w:rsidR="00CF7251" w:rsidRDefault="00CF7251" w:rsidP="00993E5E">
      <w:pPr>
        <w:pStyle w:val="B2"/>
        <w:ind w:left="0" w:firstLine="0"/>
      </w:pPr>
      <w:r>
        <w:t xml:space="preserve">For </w:t>
      </w:r>
      <w:r w:rsidR="00354D5E">
        <w:t xml:space="preserve">unlicenced band, HARQ process sharing is supported with same processes allocated to different CG configurations, while it is not </w:t>
      </w:r>
      <w:r w:rsidR="00793F7F">
        <w:t>possible</w:t>
      </w:r>
      <w:r w:rsidR="006F01D5">
        <w:t xml:space="preserve"> for licensed band with the restriction captured in MAC, </w:t>
      </w:r>
      <w:r w:rsidR="00793F7F">
        <w:t>as</w:t>
      </w:r>
      <w:r w:rsidR="006F01D5">
        <w:t xml:space="preserve"> multiple CG was introduced for IIoT/URLLC with the assumption that they will be used for different LCH. This restriction could easily be lifted though.</w:t>
      </w:r>
    </w:p>
    <w:tbl>
      <w:tblPr>
        <w:tblStyle w:val="TableGrid"/>
        <w:tblW w:w="0" w:type="auto"/>
        <w:tblLook w:val="04A0" w:firstRow="1" w:lastRow="0" w:firstColumn="1" w:lastColumn="0" w:noHBand="0" w:noVBand="1"/>
      </w:tblPr>
      <w:tblGrid>
        <w:gridCol w:w="9631"/>
      </w:tblGrid>
      <w:tr w:rsidR="006F01D5" w14:paraId="632A8F1E" w14:textId="77777777" w:rsidTr="00570636">
        <w:tc>
          <w:tcPr>
            <w:tcW w:w="9631" w:type="dxa"/>
          </w:tcPr>
          <w:p w14:paraId="5C4A39A7" w14:textId="77777777" w:rsidR="006F01D5" w:rsidRDefault="006F01D5" w:rsidP="00570636">
            <w:pPr>
              <w:keepLines/>
              <w:ind w:left="1135" w:hanging="851"/>
              <w:rPr>
                <w:rFonts w:eastAsia="Malgun Gothic"/>
                <w:noProof/>
                <w:lang w:eastAsia="ko-KR"/>
              </w:rPr>
            </w:pPr>
            <w:r>
              <w:rPr>
                <w:rFonts w:eastAsia="Malgun Gothic"/>
                <w:noProof/>
                <w:lang w:eastAsia="ko-KR"/>
              </w:rPr>
              <w:t>38.321:</w:t>
            </w:r>
          </w:p>
          <w:p w14:paraId="2692A758" w14:textId="77777777" w:rsidR="006F01D5" w:rsidRPr="0059525E" w:rsidRDefault="006F01D5" w:rsidP="00570636">
            <w:pPr>
              <w:keepLines/>
              <w:ind w:left="1135" w:hanging="851"/>
              <w:rPr>
                <w:rFonts w:eastAsia="Malgun Gothic"/>
                <w:noProof/>
                <w:lang w:eastAsia="ko-KR"/>
              </w:rPr>
            </w:pPr>
            <w:r w:rsidRPr="000B2AEF">
              <w:rPr>
                <w:rFonts w:eastAsia="Malgun Gothic"/>
                <w:noProof/>
                <w:lang w:eastAsia="ko-KR"/>
              </w:rPr>
              <w:t>NOTE 5:</w:t>
            </w:r>
            <w:r w:rsidRPr="000B2AEF">
              <w:rPr>
                <w:rFonts w:eastAsia="Malgun Gothic"/>
                <w:noProof/>
                <w:lang w:eastAsia="ko-KR"/>
              </w:rPr>
              <w:tab/>
              <w:t xml:space="preserve">If </w:t>
            </w:r>
            <w:r w:rsidRPr="000B2AEF">
              <w:rPr>
                <w:i/>
                <w:noProof/>
                <w:lang w:eastAsia="ko-KR"/>
              </w:rPr>
              <w:t>cg-RetransmissionTimer</w:t>
            </w:r>
            <w:r w:rsidRPr="000B2AEF">
              <w:rPr>
                <w:rFonts w:eastAsia="Malgun Gothic"/>
                <w:noProof/>
                <w:lang w:eastAsia="ko-KR"/>
              </w:rPr>
              <w:t xml:space="preserve"> is not configured, </w:t>
            </w:r>
            <w:r w:rsidRPr="000B2AEF">
              <w:rPr>
                <w:rFonts w:eastAsia="Malgun Gothic"/>
                <w:lang w:eastAsia="ko-KR"/>
              </w:rPr>
              <w:t>a HARQ process is not shared between different configured grant configurations in the same BWP.</w:t>
            </w:r>
          </w:p>
        </w:tc>
      </w:tr>
    </w:tbl>
    <w:p w14:paraId="040CD3EB" w14:textId="77777777" w:rsidR="00793F7F" w:rsidRDefault="00793F7F" w:rsidP="00F87D6D">
      <w:pPr>
        <w:pStyle w:val="B2"/>
        <w:ind w:left="0" w:firstLine="0"/>
        <w:rPr>
          <w:b/>
          <w:bCs/>
        </w:rPr>
      </w:pPr>
    </w:p>
    <w:p w14:paraId="3B9B7617" w14:textId="3B953823" w:rsidR="00F87D6D" w:rsidRDefault="00F87D6D" w:rsidP="00F87D6D">
      <w:pPr>
        <w:pStyle w:val="B2"/>
        <w:ind w:left="0" w:firstLine="0"/>
      </w:pPr>
      <w:r w:rsidRPr="00285A1C">
        <w:rPr>
          <w:b/>
          <w:bCs/>
        </w:rPr>
        <w:t xml:space="preserve">Proposal </w:t>
      </w:r>
      <w:r>
        <w:rPr>
          <w:b/>
          <w:bCs/>
        </w:rPr>
        <w:t>2</w:t>
      </w:r>
      <w:r>
        <w:t>: the restriction of no HARQ process sharing for licensed band should be lifted</w:t>
      </w:r>
      <w:r w:rsidR="001759A1">
        <w:t xml:space="preserve"> to allow more flexibility for NW configu</w:t>
      </w:r>
      <w:r w:rsidR="00224185">
        <w:t>r</w:t>
      </w:r>
      <w:r w:rsidR="001759A1">
        <w:t>ation</w:t>
      </w:r>
      <w:r>
        <w:t xml:space="preserve">. </w:t>
      </w:r>
    </w:p>
    <w:p w14:paraId="058A8AE4" w14:textId="74CF32DA" w:rsidR="0046028A" w:rsidRDefault="0046028A" w:rsidP="00993E5E">
      <w:pPr>
        <w:pStyle w:val="B2"/>
        <w:ind w:left="0" w:firstLine="0"/>
      </w:pPr>
      <w:r w:rsidRPr="0046028A">
        <w:rPr>
          <w:b/>
          <w:bCs/>
        </w:rPr>
        <w:lastRenderedPageBreak/>
        <w:t xml:space="preserve">Proposal </w:t>
      </w:r>
      <w:r w:rsidR="00F87D6D">
        <w:rPr>
          <w:b/>
          <w:bCs/>
        </w:rPr>
        <w:t>3</w:t>
      </w:r>
      <w:r>
        <w:t xml:space="preserve">: </w:t>
      </w:r>
      <w:r w:rsidR="00F87D6D">
        <w:t>T</w:t>
      </w:r>
      <w:r>
        <w:t xml:space="preserve">he UE may take TBS of the CG and buffered data into account </w:t>
      </w:r>
      <w:r w:rsidR="00F4279B">
        <w:t xml:space="preserve">(on top of existing LCP restrictions and LCH prioritization rules) </w:t>
      </w:r>
      <w:r>
        <w:t xml:space="preserve">when selecting </w:t>
      </w:r>
      <w:r w:rsidR="009107DF">
        <w:t>an</w:t>
      </w:r>
      <w:r>
        <w:t xml:space="preserve"> UL grant to use</w:t>
      </w:r>
      <w:r w:rsidR="004972A8">
        <w:t xml:space="preserve"> when there </w:t>
      </w:r>
      <w:r w:rsidR="009107DF">
        <w:t>are</w:t>
      </w:r>
      <w:r w:rsidR="004972A8">
        <w:t xml:space="preserve"> multiple</w:t>
      </w:r>
      <w:r w:rsidR="00F140FF">
        <w:t xml:space="preserve"> grants</w:t>
      </w:r>
      <w:r>
        <w:t>.</w:t>
      </w:r>
    </w:p>
    <w:p w14:paraId="69B7B8E6" w14:textId="69E07FC9" w:rsidR="009339CB" w:rsidRPr="006E13D1" w:rsidRDefault="005A13AB" w:rsidP="009339CB">
      <w:pPr>
        <w:pStyle w:val="Heading1"/>
      </w:pPr>
      <w:r>
        <w:t>3</w:t>
      </w:r>
      <w:r w:rsidR="009339CB" w:rsidRPr="006E13D1">
        <w:tab/>
      </w:r>
      <w:r w:rsidR="009339CB">
        <w:t>Conclusion</w:t>
      </w:r>
    </w:p>
    <w:p w14:paraId="2FC48D8E" w14:textId="285D5BA0" w:rsidR="009339CB" w:rsidRPr="006E13D1" w:rsidRDefault="004972A8" w:rsidP="009339CB">
      <w:r>
        <w:t>Multiple CG for XR is discussed in this contribution with the following proposals proposed:</w:t>
      </w:r>
    </w:p>
    <w:p w14:paraId="65F86C47" w14:textId="3D986E5F" w:rsidR="004972A8" w:rsidRDefault="004972A8" w:rsidP="004972A8">
      <w:pPr>
        <w:pStyle w:val="B2"/>
        <w:ind w:left="0" w:firstLine="0"/>
      </w:pPr>
      <w:r w:rsidRPr="0046028A">
        <w:rPr>
          <w:b/>
          <w:bCs/>
        </w:rPr>
        <w:t>Proposal 1</w:t>
      </w:r>
      <w:r>
        <w:t xml:space="preserve">: </w:t>
      </w:r>
      <w:r w:rsidR="00341249">
        <w:t>RAN2 to c</w:t>
      </w:r>
      <w:r>
        <w:t xml:space="preserve">onfirm it is already possible to configure and simultaneous activate multiple overlapping CG. </w:t>
      </w:r>
    </w:p>
    <w:p w14:paraId="71311012" w14:textId="77777777" w:rsidR="00224185" w:rsidRDefault="00224185" w:rsidP="00224185">
      <w:pPr>
        <w:pStyle w:val="B2"/>
        <w:ind w:left="0" w:firstLine="0"/>
      </w:pPr>
      <w:r w:rsidRPr="00285A1C">
        <w:rPr>
          <w:b/>
          <w:bCs/>
        </w:rPr>
        <w:t xml:space="preserve">Proposal </w:t>
      </w:r>
      <w:r>
        <w:rPr>
          <w:b/>
          <w:bCs/>
        </w:rPr>
        <w:t>2</w:t>
      </w:r>
      <w:r>
        <w:t xml:space="preserve">: the restriction of no HARQ process sharing for licensed band should be lifted to allow more flexibility for NW configuration. </w:t>
      </w:r>
    </w:p>
    <w:p w14:paraId="2C274D6D" w14:textId="7A795E37" w:rsidR="004C4E3E" w:rsidRDefault="004C4E3E" w:rsidP="004C4E3E">
      <w:pPr>
        <w:pStyle w:val="B2"/>
        <w:ind w:left="0" w:firstLine="0"/>
      </w:pPr>
      <w:r w:rsidRPr="0046028A">
        <w:rPr>
          <w:b/>
          <w:bCs/>
        </w:rPr>
        <w:t xml:space="preserve">Proposal </w:t>
      </w:r>
      <w:r>
        <w:rPr>
          <w:b/>
          <w:bCs/>
        </w:rPr>
        <w:t>3</w:t>
      </w:r>
      <w:r>
        <w:t xml:space="preserve">: The UE may take TBS of the CG and buffered data into account </w:t>
      </w:r>
      <w:r w:rsidR="00F4279B">
        <w:t xml:space="preserve">(on top of existing LCP restrictions and LCH prioritization rules) </w:t>
      </w:r>
      <w:r>
        <w:t>when selecting an UL grant to use when there are multiple</w:t>
      </w:r>
      <w:r w:rsidR="00F140FF">
        <w:t xml:space="preserve"> grants</w:t>
      </w:r>
      <w:r>
        <w:t>.</w:t>
      </w:r>
    </w:p>
    <w:p w14:paraId="259EEE34" w14:textId="67593B8F" w:rsidR="009339CB" w:rsidRDefault="00B01CEC" w:rsidP="00C20D8F">
      <w:pPr>
        <w:pStyle w:val="Heading1"/>
      </w:pPr>
      <w:r>
        <w:t>Reference</w:t>
      </w:r>
    </w:p>
    <w:p w14:paraId="654EC10D" w14:textId="04CE5AE8" w:rsidR="006010DD" w:rsidRPr="006010DD" w:rsidRDefault="004972A8" w:rsidP="006010DD">
      <w:r>
        <w:t>[</w:t>
      </w:r>
      <w:r w:rsidR="006C1B84">
        <w:t>1</w:t>
      </w:r>
      <w:r>
        <w:t xml:space="preserve">] </w:t>
      </w:r>
      <w:hyperlink r:id="rId12" w:history="1">
        <w:r w:rsidRPr="00F140FF">
          <w:rPr>
            <w:rStyle w:val="Hyperlink"/>
          </w:rPr>
          <w:t>R1-2205176</w:t>
        </w:r>
      </w:hyperlink>
      <w:r>
        <w:t xml:space="preserve">, </w:t>
      </w:r>
      <w:r w:rsidR="00044DC3" w:rsidRPr="00777A6E">
        <w:rPr>
          <w:i/>
          <w:iCs/>
        </w:rPr>
        <w:t>Power Saving Techniques for XR</w:t>
      </w:r>
      <w:r w:rsidR="00044DC3">
        <w:t xml:space="preserve">, </w:t>
      </w:r>
      <w:r w:rsidR="00745DEB" w:rsidRPr="00745DEB">
        <w:t>Qualcomm Incorporated</w:t>
      </w:r>
    </w:p>
    <w:sectPr w:rsidR="006010DD" w:rsidRPr="006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87162" w14:textId="77777777" w:rsidR="001B7C66" w:rsidRDefault="001B7C66">
      <w:r>
        <w:separator/>
      </w:r>
    </w:p>
  </w:endnote>
  <w:endnote w:type="continuationSeparator" w:id="0">
    <w:p w14:paraId="793FCC93" w14:textId="77777777" w:rsidR="001B7C66" w:rsidRDefault="001B7C66">
      <w:r>
        <w:continuationSeparator/>
      </w:r>
    </w:p>
  </w:endnote>
  <w:endnote w:type="continuationNotice" w:id="1">
    <w:p w14:paraId="2A5A1601" w14:textId="77777777" w:rsidR="001B7C66" w:rsidRDefault="001B7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6A5C9" w14:textId="77777777" w:rsidR="001B7C66" w:rsidRDefault="001B7C66">
      <w:r>
        <w:separator/>
      </w:r>
    </w:p>
  </w:footnote>
  <w:footnote w:type="continuationSeparator" w:id="0">
    <w:p w14:paraId="42ADCEDE" w14:textId="77777777" w:rsidR="001B7C66" w:rsidRDefault="001B7C66">
      <w:r>
        <w:continuationSeparator/>
      </w:r>
    </w:p>
  </w:footnote>
  <w:footnote w:type="continuationNotice" w:id="1">
    <w:p w14:paraId="330ED7FE" w14:textId="77777777" w:rsidR="001B7C66" w:rsidRDefault="001B7C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720A2C"/>
    <w:multiLevelType w:val="hybridMultilevel"/>
    <w:tmpl w:val="FBD0F788"/>
    <w:lvl w:ilvl="0" w:tplc="D5AA8C30">
      <w:start w:val="1"/>
      <w:numFmt w:val="bullet"/>
      <w:lvlText w:val=""/>
      <w:lvlJc w:val="left"/>
      <w:pPr>
        <w:tabs>
          <w:tab w:val="num" w:pos="720"/>
        </w:tabs>
        <w:ind w:left="720" w:hanging="360"/>
      </w:pPr>
      <w:rPr>
        <w:rFonts w:ascii="CG Times (WN)" w:hAnsi="CG Times (WN)" w:hint="default"/>
      </w:rPr>
    </w:lvl>
    <w:lvl w:ilvl="1" w:tplc="832A6E42">
      <w:numFmt w:val="bullet"/>
      <w:lvlText w:val="o"/>
      <w:lvlJc w:val="left"/>
      <w:pPr>
        <w:tabs>
          <w:tab w:val="num" w:pos="1440"/>
        </w:tabs>
        <w:ind w:left="1440" w:hanging="360"/>
      </w:pPr>
      <w:rPr>
        <w:rFonts w:ascii="Wingdings" w:hAnsi="Wingdings" w:hint="default"/>
      </w:rPr>
    </w:lvl>
    <w:lvl w:ilvl="2" w:tplc="6A302DFE" w:tentative="1">
      <w:start w:val="1"/>
      <w:numFmt w:val="bullet"/>
      <w:lvlText w:val=""/>
      <w:lvlJc w:val="left"/>
      <w:pPr>
        <w:tabs>
          <w:tab w:val="num" w:pos="2160"/>
        </w:tabs>
        <w:ind w:left="2160" w:hanging="360"/>
      </w:pPr>
      <w:rPr>
        <w:rFonts w:ascii="CG Times (WN)" w:hAnsi="CG Times (WN)" w:hint="default"/>
      </w:rPr>
    </w:lvl>
    <w:lvl w:ilvl="3" w:tplc="AE2C75EE" w:tentative="1">
      <w:start w:val="1"/>
      <w:numFmt w:val="bullet"/>
      <w:lvlText w:val=""/>
      <w:lvlJc w:val="left"/>
      <w:pPr>
        <w:tabs>
          <w:tab w:val="num" w:pos="2880"/>
        </w:tabs>
        <w:ind w:left="2880" w:hanging="360"/>
      </w:pPr>
      <w:rPr>
        <w:rFonts w:ascii="CG Times (WN)" w:hAnsi="CG Times (WN)" w:hint="default"/>
      </w:rPr>
    </w:lvl>
    <w:lvl w:ilvl="4" w:tplc="8934F744" w:tentative="1">
      <w:start w:val="1"/>
      <w:numFmt w:val="bullet"/>
      <w:lvlText w:val=""/>
      <w:lvlJc w:val="left"/>
      <w:pPr>
        <w:tabs>
          <w:tab w:val="num" w:pos="3600"/>
        </w:tabs>
        <w:ind w:left="3600" w:hanging="360"/>
      </w:pPr>
      <w:rPr>
        <w:rFonts w:ascii="CG Times (WN)" w:hAnsi="CG Times (WN)" w:hint="default"/>
      </w:rPr>
    </w:lvl>
    <w:lvl w:ilvl="5" w:tplc="72ACA532" w:tentative="1">
      <w:start w:val="1"/>
      <w:numFmt w:val="bullet"/>
      <w:lvlText w:val=""/>
      <w:lvlJc w:val="left"/>
      <w:pPr>
        <w:tabs>
          <w:tab w:val="num" w:pos="4320"/>
        </w:tabs>
        <w:ind w:left="4320" w:hanging="360"/>
      </w:pPr>
      <w:rPr>
        <w:rFonts w:ascii="CG Times (WN)" w:hAnsi="CG Times (WN)" w:hint="default"/>
      </w:rPr>
    </w:lvl>
    <w:lvl w:ilvl="6" w:tplc="12C0AE02" w:tentative="1">
      <w:start w:val="1"/>
      <w:numFmt w:val="bullet"/>
      <w:lvlText w:val=""/>
      <w:lvlJc w:val="left"/>
      <w:pPr>
        <w:tabs>
          <w:tab w:val="num" w:pos="5040"/>
        </w:tabs>
        <w:ind w:left="5040" w:hanging="360"/>
      </w:pPr>
      <w:rPr>
        <w:rFonts w:ascii="CG Times (WN)" w:hAnsi="CG Times (WN)" w:hint="default"/>
      </w:rPr>
    </w:lvl>
    <w:lvl w:ilvl="7" w:tplc="F14C71A0" w:tentative="1">
      <w:start w:val="1"/>
      <w:numFmt w:val="bullet"/>
      <w:lvlText w:val=""/>
      <w:lvlJc w:val="left"/>
      <w:pPr>
        <w:tabs>
          <w:tab w:val="num" w:pos="5760"/>
        </w:tabs>
        <w:ind w:left="5760" w:hanging="360"/>
      </w:pPr>
      <w:rPr>
        <w:rFonts w:ascii="CG Times (WN)" w:hAnsi="CG Times (WN)" w:hint="default"/>
      </w:rPr>
    </w:lvl>
    <w:lvl w:ilvl="8" w:tplc="A19A035A" w:tentative="1">
      <w:start w:val="1"/>
      <w:numFmt w:val="bullet"/>
      <w:lvlText w:val=""/>
      <w:lvlJc w:val="left"/>
      <w:pPr>
        <w:tabs>
          <w:tab w:val="num" w:pos="6480"/>
        </w:tabs>
        <w:ind w:left="6480" w:hanging="360"/>
      </w:pPr>
      <w:rPr>
        <w:rFonts w:ascii="CG Times (WN)" w:hAnsi="CG Times (WN)"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4DC3"/>
    <w:rsid w:val="00060C10"/>
    <w:rsid w:val="00065268"/>
    <w:rsid w:val="00073C9C"/>
    <w:rsid w:val="00076412"/>
    <w:rsid w:val="00080512"/>
    <w:rsid w:val="00090468"/>
    <w:rsid w:val="00094568"/>
    <w:rsid w:val="000B7BCF"/>
    <w:rsid w:val="000C522B"/>
    <w:rsid w:val="000D58AB"/>
    <w:rsid w:val="000E055D"/>
    <w:rsid w:val="00101E32"/>
    <w:rsid w:val="00112F1A"/>
    <w:rsid w:val="00122198"/>
    <w:rsid w:val="00133147"/>
    <w:rsid w:val="00145075"/>
    <w:rsid w:val="001738FC"/>
    <w:rsid w:val="001741A0"/>
    <w:rsid w:val="001759A1"/>
    <w:rsid w:val="00175FA0"/>
    <w:rsid w:val="00194CD0"/>
    <w:rsid w:val="001A4430"/>
    <w:rsid w:val="001B49C9"/>
    <w:rsid w:val="001B7C66"/>
    <w:rsid w:val="001C23F4"/>
    <w:rsid w:val="001C4F79"/>
    <w:rsid w:val="001F168B"/>
    <w:rsid w:val="001F7831"/>
    <w:rsid w:val="00204045"/>
    <w:rsid w:val="0020712B"/>
    <w:rsid w:val="00224185"/>
    <w:rsid w:val="0022606D"/>
    <w:rsid w:val="00231728"/>
    <w:rsid w:val="00244A05"/>
    <w:rsid w:val="00245747"/>
    <w:rsid w:val="00250404"/>
    <w:rsid w:val="00255616"/>
    <w:rsid w:val="00256B74"/>
    <w:rsid w:val="002610D8"/>
    <w:rsid w:val="00265169"/>
    <w:rsid w:val="0027004C"/>
    <w:rsid w:val="002747EC"/>
    <w:rsid w:val="002855BF"/>
    <w:rsid w:val="00285A1C"/>
    <w:rsid w:val="002B2988"/>
    <w:rsid w:val="002E50B2"/>
    <w:rsid w:val="002F0D22"/>
    <w:rsid w:val="00311B17"/>
    <w:rsid w:val="003172DC"/>
    <w:rsid w:val="00325AE3"/>
    <w:rsid w:val="00326069"/>
    <w:rsid w:val="00341249"/>
    <w:rsid w:val="0035462D"/>
    <w:rsid w:val="00354D5E"/>
    <w:rsid w:val="0036459E"/>
    <w:rsid w:val="00364B41"/>
    <w:rsid w:val="00383096"/>
    <w:rsid w:val="003900CD"/>
    <w:rsid w:val="0039346C"/>
    <w:rsid w:val="003A41EF"/>
    <w:rsid w:val="003B40AD"/>
    <w:rsid w:val="003C4E37"/>
    <w:rsid w:val="003E16BE"/>
    <w:rsid w:val="003E27EB"/>
    <w:rsid w:val="003F4E28"/>
    <w:rsid w:val="004006E8"/>
    <w:rsid w:val="00401855"/>
    <w:rsid w:val="00423FA7"/>
    <w:rsid w:val="00446C3A"/>
    <w:rsid w:val="0046028A"/>
    <w:rsid w:val="00463091"/>
    <w:rsid w:val="00465587"/>
    <w:rsid w:val="00477455"/>
    <w:rsid w:val="00494CA9"/>
    <w:rsid w:val="004972A8"/>
    <w:rsid w:val="004A1F7B"/>
    <w:rsid w:val="004B4D5A"/>
    <w:rsid w:val="004B6495"/>
    <w:rsid w:val="004C44D2"/>
    <w:rsid w:val="004C4E3E"/>
    <w:rsid w:val="004D3232"/>
    <w:rsid w:val="004D3578"/>
    <w:rsid w:val="004D380D"/>
    <w:rsid w:val="004E213A"/>
    <w:rsid w:val="004F4540"/>
    <w:rsid w:val="004F73A7"/>
    <w:rsid w:val="00503171"/>
    <w:rsid w:val="0050393D"/>
    <w:rsid w:val="00506C28"/>
    <w:rsid w:val="00532764"/>
    <w:rsid w:val="00534DA0"/>
    <w:rsid w:val="00541CA7"/>
    <w:rsid w:val="00543E6C"/>
    <w:rsid w:val="00550FDE"/>
    <w:rsid w:val="005573B1"/>
    <w:rsid w:val="00565087"/>
    <w:rsid w:val="0056573F"/>
    <w:rsid w:val="00570636"/>
    <w:rsid w:val="00571279"/>
    <w:rsid w:val="0058468B"/>
    <w:rsid w:val="0059525E"/>
    <w:rsid w:val="005A13AB"/>
    <w:rsid w:val="005A49C6"/>
    <w:rsid w:val="005C766E"/>
    <w:rsid w:val="005C7CD5"/>
    <w:rsid w:val="005E5570"/>
    <w:rsid w:val="006010DD"/>
    <w:rsid w:val="00603C96"/>
    <w:rsid w:val="00611566"/>
    <w:rsid w:val="00646D99"/>
    <w:rsid w:val="00656910"/>
    <w:rsid w:val="006574C0"/>
    <w:rsid w:val="00665FBB"/>
    <w:rsid w:val="00694911"/>
    <w:rsid w:val="00696821"/>
    <w:rsid w:val="006C1B84"/>
    <w:rsid w:val="006C66D8"/>
    <w:rsid w:val="006D1E24"/>
    <w:rsid w:val="006D35DE"/>
    <w:rsid w:val="006E1057"/>
    <w:rsid w:val="006E1417"/>
    <w:rsid w:val="006F01D5"/>
    <w:rsid w:val="006F6A2C"/>
    <w:rsid w:val="00700FDE"/>
    <w:rsid w:val="007069DC"/>
    <w:rsid w:val="00710201"/>
    <w:rsid w:val="0072073A"/>
    <w:rsid w:val="007342B5"/>
    <w:rsid w:val="00734A5B"/>
    <w:rsid w:val="00744E76"/>
    <w:rsid w:val="00745DEB"/>
    <w:rsid w:val="00757D40"/>
    <w:rsid w:val="00764F65"/>
    <w:rsid w:val="007662B5"/>
    <w:rsid w:val="00773AFA"/>
    <w:rsid w:val="00777A6E"/>
    <w:rsid w:val="00781F0F"/>
    <w:rsid w:val="0078727C"/>
    <w:rsid w:val="0079049D"/>
    <w:rsid w:val="0079372E"/>
    <w:rsid w:val="00793DC5"/>
    <w:rsid w:val="00793F7F"/>
    <w:rsid w:val="00796823"/>
    <w:rsid w:val="007A2E55"/>
    <w:rsid w:val="007B18D8"/>
    <w:rsid w:val="007C095F"/>
    <w:rsid w:val="007C224A"/>
    <w:rsid w:val="007C2DD0"/>
    <w:rsid w:val="007D552A"/>
    <w:rsid w:val="007F2E08"/>
    <w:rsid w:val="007F64AE"/>
    <w:rsid w:val="008024FA"/>
    <w:rsid w:val="008028A4"/>
    <w:rsid w:val="00805D28"/>
    <w:rsid w:val="00806947"/>
    <w:rsid w:val="00813245"/>
    <w:rsid w:val="008355B6"/>
    <w:rsid w:val="00840DE0"/>
    <w:rsid w:val="00847CD0"/>
    <w:rsid w:val="008607A8"/>
    <w:rsid w:val="0086354A"/>
    <w:rsid w:val="008768CA"/>
    <w:rsid w:val="00877EF9"/>
    <w:rsid w:val="00880559"/>
    <w:rsid w:val="00897D90"/>
    <w:rsid w:val="008A4F02"/>
    <w:rsid w:val="008B5306"/>
    <w:rsid w:val="008C2E2A"/>
    <w:rsid w:val="008C3057"/>
    <w:rsid w:val="008C324C"/>
    <w:rsid w:val="008C5822"/>
    <w:rsid w:val="008D2E4D"/>
    <w:rsid w:val="008D7411"/>
    <w:rsid w:val="008F396F"/>
    <w:rsid w:val="008F3DCD"/>
    <w:rsid w:val="0090271F"/>
    <w:rsid w:val="00902DB9"/>
    <w:rsid w:val="0090466A"/>
    <w:rsid w:val="009107DF"/>
    <w:rsid w:val="00917F40"/>
    <w:rsid w:val="00923655"/>
    <w:rsid w:val="009339CB"/>
    <w:rsid w:val="00936071"/>
    <w:rsid w:val="009376CD"/>
    <w:rsid w:val="00940212"/>
    <w:rsid w:val="00942EC2"/>
    <w:rsid w:val="00961B32"/>
    <w:rsid w:val="00962509"/>
    <w:rsid w:val="0096615B"/>
    <w:rsid w:val="00970DB3"/>
    <w:rsid w:val="009738F5"/>
    <w:rsid w:val="00974BB0"/>
    <w:rsid w:val="00975BCD"/>
    <w:rsid w:val="009928A9"/>
    <w:rsid w:val="00993E5E"/>
    <w:rsid w:val="009A0AF3"/>
    <w:rsid w:val="009A65B7"/>
    <w:rsid w:val="009B07CD"/>
    <w:rsid w:val="009C19E9"/>
    <w:rsid w:val="009C3FC3"/>
    <w:rsid w:val="009D74A6"/>
    <w:rsid w:val="009E0E87"/>
    <w:rsid w:val="00A10F02"/>
    <w:rsid w:val="00A17176"/>
    <w:rsid w:val="00A204CA"/>
    <w:rsid w:val="00A209D6"/>
    <w:rsid w:val="00A22738"/>
    <w:rsid w:val="00A27A54"/>
    <w:rsid w:val="00A36F5F"/>
    <w:rsid w:val="00A430EC"/>
    <w:rsid w:val="00A50AB5"/>
    <w:rsid w:val="00A53724"/>
    <w:rsid w:val="00A54B2B"/>
    <w:rsid w:val="00A703B6"/>
    <w:rsid w:val="00A715E0"/>
    <w:rsid w:val="00A7794E"/>
    <w:rsid w:val="00A82346"/>
    <w:rsid w:val="00A91A30"/>
    <w:rsid w:val="00A9671C"/>
    <w:rsid w:val="00AA1553"/>
    <w:rsid w:val="00AA365B"/>
    <w:rsid w:val="00AA689A"/>
    <w:rsid w:val="00AB1AE5"/>
    <w:rsid w:val="00AF7343"/>
    <w:rsid w:val="00B01CEC"/>
    <w:rsid w:val="00B05380"/>
    <w:rsid w:val="00B05962"/>
    <w:rsid w:val="00B0689F"/>
    <w:rsid w:val="00B15449"/>
    <w:rsid w:val="00B16C2F"/>
    <w:rsid w:val="00B26000"/>
    <w:rsid w:val="00B27303"/>
    <w:rsid w:val="00B44FC5"/>
    <w:rsid w:val="00B47FD1"/>
    <w:rsid w:val="00B516BB"/>
    <w:rsid w:val="00B53C2F"/>
    <w:rsid w:val="00B7538C"/>
    <w:rsid w:val="00B84DB2"/>
    <w:rsid w:val="00BC3555"/>
    <w:rsid w:val="00BC70B7"/>
    <w:rsid w:val="00C12B51"/>
    <w:rsid w:val="00C20D8F"/>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F7251"/>
    <w:rsid w:val="00D123D4"/>
    <w:rsid w:val="00D33BE3"/>
    <w:rsid w:val="00D35869"/>
    <w:rsid w:val="00D3792D"/>
    <w:rsid w:val="00D55E47"/>
    <w:rsid w:val="00D62E19"/>
    <w:rsid w:val="00D67CD1"/>
    <w:rsid w:val="00D738D6"/>
    <w:rsid w:val="00D80795"/>
    <w:rsid w:val="00D824CD"/>
    <w:rsid w:val="00D854BE"/>
    <w:rsid w:val="00D86CF6"/>
    <w:rsid w:val="00D8728A"/>
    <w:rsid w:val="00D87E00"/>
    <w:rsid w:val="00D9134D"/>
    <w:rsid w:val="00D91DB7"/>
    <w:rsid w:val="00D969F8"/>
    <w:rsid w:val="00D96D11"/>
    <w:rsid w:val="00DA7A03"/>
    <w:rsid w:val="00DB0DB8"/>
    <w:rsid w:val="00DB1818"/>
    <w:rsid w:val="00DB65DB"/>
    <w:rsid w:val="00DC309B"/>
    <w:rsid w:val="00DC4DA2"/>
    <w:rsid w:val="00DC5261"/>
    <w:rsid w:val="00DD469E"/>
    <w:rsid w:val="00DE25D2"/>
    <w:rsid w:val="00DF7C20"/>
    <w:rsid w:val="00E0705B"/>
    <w:rsid w:val="00E134F6"/>
    <w:rsid w:val="00E46C08"/>
    <w:rsid w:val="00E471CF"/>
    <w:rsid w:val="00E62835"/>
    <w:rsid w:val="00E77645"/>
    <w:rsid w:val="00E83697"/>
    <w:rsid w:val="00E859B6"/>
    <w:rsid w:val="00EA66C9"/>
    <w:rsid w:val="00EB10A2"/>
    <w:rsid w:val="00EB5D32"/>
    <w:rsid w:val="00EC2061"/>
    <w:rsid w:val="00EC4A25"/>
    <w:rsid w:val="00EE665D"/>
    <w:rsid w:val="00EF1360"/>
    <w:rsid w:val="00EF612C"/>
    <w:rsid w:val="00F01ABA"/>
    <w:rsid w:val="00F025A2"/>
    <w:rsid w:val="00F036E9"/>
    <w:rsid w:val="00F06B33"/>
    <w:rsid w:val="00F07388"/>
    <w:rsid w:val="00F140FF"/>
    <w:rsid w:val="00F2026E"/>
    <w:rsid w:val="00F2210A"/>
    <w:rsid w:val="00F31372"/>
    <w:rsid w:val="00F37743"/>
    <w:rsid w:val="00F4279B"/>
    <w:rsid w:val="00F54A3D"/>
    <w:rsid w:val="00F54CB0"/>
    <w:rsid w:val="00F579CD"/>
    <w:rsid w:val="00F653B8"/>
    <w:rsid w:val="00F71B89"/>
    <w:rsid w:val="00F7353C"/>
    <w:rsid w:val="00F76F8F"/>
    <w:rsid w:val="00F8454E"/>
    <w:rsid w:val="00F87257"/>
    <w:rsid w:val="00F87D6D"/>
    <w:rsid w:val="00F941DF"/>
    <w:rsid w:val="00FA1266"/>
    <w:rsid w:val="00FA70C2"/>
    <w:rsid w:val="00FB36FA"/>
    <w:rsid w:val="00FB79B6"/>
    <w:rsid w:val="00FC1192"/>
    <w:rsid w:val="00FC226D"/>
    <w:rsid w:val="00FC27A7"/>
    <w:rsid w:val="00FD300E"/>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AA35650-8AAD-44D9-BC43-34EFC1A25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91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91DB7"/>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B4D5A"/>
    <w:rPr>
      <w:sz w:val="16"/>
      <w:szCs w:val="16"/>
    </w:rPr>
  </w:style>
  <w:style w:type="paragraph" w:styleId="CommentText">
    <w:name w:val="annotation text"/>
    <w:basedOn w:val="Normal"/>
    <w:link w:val="CommentTextChar"/>
    <w:rsid w:val="004B4D5A"/>
  </w:style>
  <w:style w:type="character" w:customStyle="1" w:styleId="CommentTextChar">
    <w:name w:val="Comment Text Char"/>
    <w:basedOn w:val="DefaultParagraphFont"/>
    <w:link w:val="CommentText"/>
    <w:rsid w:val="004B4D5A"/>
    <w:rPr>
      <w:lang w:eastAsia="en-US"/>
    </w:rPr>
  </w:style>
  <w:style w:type="paragraph" w:styleId="CommentSubject">
    <w:name w:val="annotation subject"/>
    <w:basedOn w:val="CommentText"/>
    <w:next w:val="CommentText"/>
    <w:link w:val="CommentSubjectChar"/>
    <w:rsid w:val="004B4D5A"/>
    <w:rPr>
      <w:b/>
      <w:bCs/>
    </w:rPr>
  </w:style>
  <w:style w:type="character" w:customStyle="1" w:styleId="CommentSubjectChar">
    <w:name w:val="Comment Subject Char"/>
    <w:basedOn w:val="CommentTextChar"/>
    <w:link w:val="CommentSubject"/>
    <w:rsid w:val="004B4D5A"/>
    <w:rPr>
      <w:b/>
      <w:bCs/>
      <w:lang w:eastAsia="en-US"/>
    </w:rPr>
  </w:style>
  <w:style w:type="paragraph" w:styleId="Revision">
    <w:name w:val="Revision"/>
    <w:hidden/>
    <w:uiPriority w:val="99"/>
    <w:semiHidden/>
    <w:rsid w:val="00A779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1_RL1/TSGR1_109-e/Docs/R1-220517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5AIRPNAIUNRU-859666464-12559</_dlc_DocId>
    <_dlc_DocIdUrl xmlns="71c5aaf6-e6ce-465b-b873-5148d2a4c105">
      <Url>https://nokia.sharepoint.com/sites/c5g/e2earch/_layouts/15/DocIdRedir.aspx?ID=5AIRPNAIUNRU-859666464-12559</Url>
      <Description>5AIRPNAIUNRU-859666464-12559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3b34c8f0-1ef5-4d1e-bb66-517ce7fe7356"/>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a3840f4f-04be-43d1-b2ef-6ff1382503c7"/>
    <ds:schemaRef ds:uri="83f22d2f-d16e-4be6-ad4f-29fa0b067c3c"/>
    <ds:schemaRef ds:uri="71c5aaf6-e6ce-465b-b873-5148d2a4c105"/>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78B1A067-3E79-424A-9EA6-A23F116D9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596</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104</cp:revision>
  <dcterms:created xsi:type="dcterms:W3CDTF">2022-09-08T12:23:00Z</dcterms:created>
  <dcterms:modified xsi:type="dcterms:W3CDTF">2022-09-29T13:05:00Z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00159bf5-fb82-441e-8346-61932fc9bb77</vt:lpwstr>
  </property>
</Properties>
</file>